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436" w:rsidRPr="000177D5" w:rsidRDefault="000F6436" w:rsidP="000177D5">
      <w:pPr>
        <w:spacing w:after="0" w:line="240" w:lineRule="auto"/>
        <w:ind w:firstLine="709"/>
        <w:jc w:val="both"/>
        <w:rPr>
          <w:b/>
          <w:bCs/>
        </w:rPr>
      </w:pPr>
      <w:r w:rsidRPr="000177D5">
        <w:rPr>
          <w:b/>
          <w:bCs/>
        </w:rPr>
        <w:t>Томская транспортная прокуратура информирует о новом порядке ознакомления с материалами таможенной проверки</w:t>
      </w:r>
    </w:p>
    <w:p w:rsidR="000F6436" w:rsidRDefault="000F6436" w:rsidP="000177D5">
      <w:pPr>
        <w:spacing w:after="0" w:line="240" w:lineRule="auto"/>
        <w:ind w:firstLine="709"/>
        <w:jc w:val="both"/>
      </w:pPr>
      <w:r>
        <w:t>Федеральным законом от 14.10.2024 № 347-ФЗ внесены изменения в Федеральный закон от 03.08.2018 № 289-ФЗ «О таможенном регулировании в Российской Федерации и о внесении изменений в отдельные законодательные акты Российской Федерации» и о приостановлении действия пункта 2 части 6 статьи 102 Федерального закона «О таможенном регулировании в Российской Федерации и о внесении изменений в отдельные законодательные акты Российской Федерации» (далее – Федеральный закон № 289-ФЗ).</w:t>
      </w:r>
    </w:p>
    <w:p w:rsidR="000F6436" w:rsidRDefault="000F6436" w:rsidP="000177D5">
      <w:pPr>
        <w:spacing w:after="0" w:line="240" w:lineRule="auto"/>
        <w:ind w:firstLine="709"/>
        <w:jc w:val="both"/>
      </w:pPr>
      <w:r>
        <w:t>Так, в соответствии с указанными изменениями проверяемое лицо после получения акта таможенной проверки вправе знакомиться с материалами таможенной проверки, не содержащими сведения, составляющие государственную тайну, коммерческую, налоговую, банковскую тайну третьих лиц и иную охраняемую законом тайну (секреты), а также персональные данные физических лиц, а в случае, если предоставление проверяемому лицу указанных сведений предусмотрено настоящим Федеральным законом или иными федеральными законами, также с материалами таможенной проверки, содержащими указанные сведения (ст. 235 Закона).</w:t>
      </w:r>
    </w:p>
    <w:p w:rsidR="000F6436" w:rsidRDefault="000F6436" w:rsidP="000177D5">
      <w:pPr>
        <w:spacing w:after="0" w:line="240" w:lineRule="auto"/>
        <w:ind w:firstLine="709"/>
        <w:jc w:val="both"/>
      </w:pPr>
      <w:r>
        <w:t>Кроме того, Федеральный закон № 289-ФЗ дополнен статьей 235.1, определяющая порядок ознакомления с материалами таможенной проверки.</w:t>
      </w:r>
    </w:p>
    <w:p w:rsidR="000F6436" w:rsidRDefault="000F6436" w:rsidP="000177D5">
      <w:pPr>
        <w:spacing w:after="0" w:line="240" w:lineRule="auto"/>
        <w:ind w:firstLine="709"/>
        <w:jc w:val="both"/>
      </w:pPr>
      <w:r>
        <w:t>Так таможенный орган обязан обеспечить проверяемому лицу (его представителю) возможность ознакомиться на территории таможенного органа с материалами таможенной проверки не позднее пяти рабочих дней со дня подачи таким лицом соответствующего заявления, составленного в произвольной форме. Ознакомление представителя проверяемого лица с материалами таможенной проверки осуществляется на основании нотариально заверенной доверенности (ее копии), в которой должно быть непосредственно закреплено право представителя проверяемого лица на ознакомление с материалами таможенной проверки.</w:t>
      </w:r>
    </w:p>
    <w:p w:rsidR="000F6436" w:rsidRDefault="000F6436" w:rsidP="000177D5">
      <w:pPr>
        <w:spacing w:after="0" w:line="240" w:lineRule="auto"/>
        <w:ind w:firstLine="709"/>
        <w:jc w:val="both"/>
      </w:pPr>
      <w:r>
        <w:t>Ознакомление с материалами проверки осуществляется путем их визуального осмотра, изготовления выписок, снятия копий с использованием технических средств проверяемого лица, предназначенных для копирования или фотографирования, с учетом особенностей, установленных частью 3 статьи 235.1 Федерального закона № 289.</w:t>
      </w:r>
    </w:p>
    <w:p w:rsidR="000F6436" w:rsidRDefault="000F6436" w:rsidP="000177D5">
      <w:pPr>
        <w:spacing w:after="0" w:line="240" w:lineRule="auto"/>
        <w:ind w:firstLine="709"/>
        <w:jc w:val="both"/>
      </w:pPr>
      <w:r>
        <w:t>В ходе ознакомления с материалами таможенной проверки документы, содержащие не подлежащие разглашению таможенным органом сведения, составляющие государственную тайну, коммерческую, налоговую, банковскую тайну третьих лиц и иную охраняемую законом тайну (секреты), а также персональные данные физических лиц, предоставляются для ознакомления по ходатайству проверяемого лица (его представителя) в виде заверенной таможенным органом выписки только в случае, если в таких документах содержатся сведения, подтверждающие факты нарушений проверяемым лицом международных договоров и актов в сфере таможенного регулирования и (или) законодательства Российской Федерации о таможенном регулировании, выявленные в ходе таможенной проверки. При этом предоставляемая выписка должна содержать:</w:t>
      </w:r>
    </w:p>
    <w:p w:rsidR="000F6436" w:rsidRDefault="000F6436" w:rsidP="000177D5">
      <w:pPr>
        <w:spacing w:after="0" w:line="240" w:lineRule="auto"/>
        <w:ind w:firstLine="709"/>
        <w:jc w:val="both"/>
      </w:pPr>
      <w:r>
        <w:t>1) сведения, подтверждающие факты нарушений проверяемым лицом международных договоров и актов в сфере таможенного регулирования и (или) законодательства Российской Федерации о таможенном регулировании, выявленные в ходе таможенной проверки;</w:t>
      </w:r>
    </w:p>
    <w:p w:rsidR="000F6436" w:rsidRDefault="000F6436" w:rsidP="000177D5">
      <w:pPr>
        <w:spacing w:after="0" w:line="240" w:lineRule="auto"/>
        <w:ind w:firstLine="709"/>
        <w:jc w:val="both"/>
      </w:pPr>
      <w:r>
        <w:t>2) сведения, позволяющие идентифицировать документ, выписка из которого предоставляется проверяемому лицу (его представителю).</w:t>
      </w:r>
    </w:p>
    <w:p w:rsidR="000F6436" w:rsidRDefault="000F6436" w:rsidP="000177D5">
      <w:pPr>
        <w:spacing w:after="0" w:line="240" w:lineRule="auto"/>
        <w:ind w:firstLine="709"/>
        <w:jc w:val="both"/>
      </w:pPr>
      <w:r>
        <w:t>По окончании ознакомления проверяемого лица (его представителя) с материалами таможенной проверки составляется акт об ознакомлении с материалами таможенной проверки, форма которого утверждается федеральным органом исполнительной власти, осуществляющим функции по контролю и надзору в области таможенного дела.</w:t>
      </w:r>
    </w:p>
    <w:p w:rsidR="000F6436" w:rsidRDefault="000F6436" w:rsidP="000177D5">
      <w:pPr>
        <w:spacing w:after="0" w:line="240" w:lineRule="auto"/>
        <w:ind w:firstLine="709"/>
        <w:jc w:val="both"/>
      </w:pPr>
      <w:r>
        <w:t>Акт об ознакомлении с материалами таможенной проверки подписывается составившим его должностным лицом таможенного органа и проверяемым лицом (его представителем), ознакомившимся с материалами таможенной проверки, и приобщается к материалам таможенной проверки.</w:t>
      </w:r>
    </w:p>
    <w:p w:rsidR="000F6436" w:rsidRDefault="000F6436" w:rsidP="000177D5">
      <w:pPr>
        <w:spacing w:after="0" w:line="240" w:lineRule="auto"/>
        <w:ind w:firstLine="709"/>
        <w:jc w:val="both"/>
      </w:pPr>
      <w:r>
        <w:t>Федеральный закон вступил в законную силу 14.11.2024.</w:t>
      </w:r>
    </w:p>
    <w:p w:rsidR="000F6436" w:rsidRDefault="000F6436" w:rsidP="000177D5">
      <w:pPr>
        <w:spacing w:after="0" w:line="240" w:lineRule="auto"/>
        <w:ind w:firstLine="709"/>
        <w:jc w:val="both"/>
      </w:pPr>
      <w:r>
        <w:br w:type="page"/>
      </w:r>
    </w:p>
    <w:p w:rsidR="000F6436" w:rsidRPr="000177D5" w:rsidRDefault="000F6436" w:rsidP="000177D5">
      <w:pPr>
        <w:spacing w:after="0" w:line="240" w:lineRule="auto"/>
        <w:ind w:firstLine="709"/>
        <w:jc w:val="both"/>
        <w:rPr>
          <w:b/>
          <w:bCs/>
        </w:rPr>
      </w:pPr>
      <w:r w:rsidRPr="000177D5">
        <w:rPr>
          <w:b/>
          <w:bCs/>
        </w:rPr>
        <w:lastRenderedPageBreak/>
        <w:t>Томская транспортная прокуратура информирует: с 1 марта 2025 года устанавливаются требования к размещению, хранению и использованию укладок для оказания первой помощи с применением медицинских изделий пострадавшим на железнодорожном транспорте при оказании услуг по перевозкам пассажиров</w:t>
      </w:r>
    </w:p>
    <w:p w:rsidR="000F6436" w:rsidRDefault="000F6436" w:rsidP="000177D5">
      <w:pPr>
        <w:spacing w:after="0" w:line="240" w:lineRule="auto"/>
        <w:ind w:firstLine="709"/>
        <w:jc w:val="both"/>
      </w:pPr>
      <w:r>
        <w:t xml:space="preserve">Приказом Минтранса России от 12.09.2024 № 314 утверждены требования к размещению, хранению и использованию укладок для оказания первой помощи с применением медицинских изделий пострадавшим на железнодорожном транспорте при оказании услуг по перевозкам пассажиров, которые вступают в силу с 01.03.2025. </w:t>
      </w:r>
    </w:p>
    <w:p w:rsidR="000F6436" w:rsidRDefault="000F6436" w:rsidP="000177D5">
      <w:pPr>
        <w:spacing w:after="0" w:line="240" w:lineRule="auto"/>
        <w:ind w:firstLine="709"/>
        <w:jc w:val="both"/>
      </w:pPr>
      <w:r>
        <w:t>Указанным документом определен перечень ответственных лиц за хранение укладок, а именно:</w:t>
      </w:r>
    </w:p>
    <w:p w:rsidR="000F6436" w:rsidRDefault="000F6436" w:rsidP="000177D5">
      <w:pPr>
        <w:spacing w:after="0" w:line="240" w:lineRule="auto"/>
        <w:ind w:firstLine="709"/>
        <w:jc w:val="both"/>
      </w:pPr>
      <w:r>
        <w:t xml:space="preserve">- в поездах дальнего следования и поездах пригородного сообщения, сформированных из пассажирских </w:t>
      </w:r>
      <w:proofErr w:type="spellStart"/>
      <w:r>
        <w:t>вагоно-локомотивной</w:t>
      </w:r>
      <w:proofErr w:type="spellEnd"/>
      <w:r>
        <w:t xml:space="preserve"> тяги, - уполномоченный работник перевозчика;</w:t>
      </w:r>
    </w:p>
    <w:p w:rsidR="000F6436" w:rsidRDefault="000F6436" w:rsidP="000177D5">
      <w:pPr>
        <w:spacing w:after="0" w:line="240" w:lineRule="auto"/>
        <w:ind w:firstLine="709"/>
        <w:jc w:val="both"/>
      </w:pPr>
      <w:r>
        <w:t>- в поездах дальнего следования и поездах пригородного сообщения, сформированных из мотор-вагонного подвижного состава, - уполномоченный работник локомотивной бригады.</w:t>
      </w:r>
    </w:p>
    <w:p w:rsidR="000F6436" w:rsidRDefault="000F6436" w:rsidP="000177D5">
      <w:pPr>
        <w:spacing w:after="0" w:line="240" w:lineRule="auto"/>
        <w:ind w:firstLine="709"/>
        <w:jc w:val="both"/>
      </w:pPr>
      <w:r>
        <w:t>Хранение укладок для оснащения поездов осуществляется в местах, обозначенных знаком «+», которые используются для оказания первой помощи при несчастных случаях, травмах, ранениях, поражениях, отравлениях, других состояниях и заболеваниях, угрожающих жизни и здоровью пострадавших, до оказания медицинской помощи.</w:t>
      </w:r>
    </w:p>
    <w:p w:rsidR="000F6436" w:rsidRDefault="000F6436" w:rsidP="000177D5">
      <w:pPr>
        <w:spacing w:after="0" w:line="240" w:lineRule="auto"/>
        <w:ind w:firstLine="709"/>
        <w:jc w:val="both"/>
      </w:pPr>
      <w:r>
        <w:t>При этом укладки для оказания первой помощи должны быть укомплектованы в соответствии с требованиями к комплектации укладок для оказания первой помощи с применением медицинских изделий пострадавшим на железнодорожном транспорте при оказании услуг по перевозкам пассажиров, утвержденными приказом Минздрава России от 24.05.2024 № 258н, и размещены в поездах дальнего следования и поездах пригородного сообщения.</w:t>
      </w:r>
    </w:p>
    <w:p w:rsidR="000F6436" w:rsidRDefault="000F6436" w:rsidP="000177D5">
      <w:pPr>
        <w:spacing w:after="0" w:line="240" w:lineRule="auto"/>
        <w:ind w:firstLine="709"/>
        <w:jc w:val="both"/>
      </w:pPr>
      <w:r>
        <w:br w:type="page"/>
      </w:r>
    </w:p>
    <w:p w:rsidR="000F6436" w:rsidRPr="000177D5" w:rsidRDefault="000F6436" w:rsidP="000177D5">
      <w:pPr>
        <w:spacing w:after="0" w:line="240" w:lineRule="auto"/>
        <w:ind w:firstLine="709"/>
        <w:jc w:val="both"/>
        <w:rPr>
          <w:b/>
          <w:bCs/>
        </w:rPr>
      </w:pPr>
      <w:r w:rsidRPr="000177D5">
        <w:rPr>
          <w:b/>
          <w:bCs/>
        </w:rPr>
        <w:lastRenderedPageBreak/>
        <w:t>Томская транспортная прокуратура разъясняет об ответственности за угон воздушного судна, водного транспорта или железнодорожного подвижного состава</w:t>
      </w:r>
    </w:p>
    <w:p w:rsidR="000F6436" w:rsidRDefault="000F6436" w:rsidP="000177D5">
      <w:pPr>
        <w:spacing w:after="0" w:line="240" w:lineRule="auto"/>
        <w:ind w:firstLine="709"/>
        <w:jc w:val="both"/>
      </w:pPr>
      <w:r>
        <w:t>Объективная сторона рассматриваемого деяния выражается в угоне судна воздушного или водного транспорта либо железнодорожного подвижного состава, а равно в захвате такого судна или состава в целях угона.</w:t>
      </w:r>
    </w:p>
    <w:p w:rsidR="000F6436" w:rsidRDefault="000F6436" w:rsidP="000177D5">
      <w:pPr>
        <w:spacing w:after="0" w:line="240" w:lineRule="auto"/>
        <w:ind w:firstLine="709"/>
        <w:jc w:val="both"/>
      </w:pPr>
      <w:r>
        <w:t>Угон предполагает незаконное самовольное перемещение судна воздушного, водного транспорта либо железнодорожного состава.</w:t>
      </w:r>
    </w:p>
    <w:p w:rsidR="000F6436" w:rsidRDefault="000F6436" w:rsidP="000177D5">
      <w:pPr>
        <w:spacing w:after="0" w:line="240" w:lineRule="auto"/>
        <w:ind w:firstLine="709"/>
        <w:jc w:val="both"/>
      </w:pPr>
      <w:r>
        <w:t>При этом расстояние, на которое они при угоне перемещены, не имеет значения.</w:t>
      </w:r>
    </w:p>
    <w:p w:rsidR="000F6436" w:rsidRDefault="000F6436" w:rsidP="000177D5">
      <w:pPr>
        <w:spacing w:after="0" w:line="240" w:lineRule="auto"/>
        <w:ind w:firstLine="709"/>
        <w:jc w:val="both"/>
      </w:pPr>
      <w:r>
        <w:t>Кроме этого, состав преступления может иметь место и в случаях, когда соответствующее транспортное средство передается при выполнении требования виновного лица как условие освобождения захваченного заложника, в таких случаях деяние квалифицируется по совокупности статей 206 УК РФ.</w:t>
      </w:r>
    </w:p>
    <w:p w:rsidR="000F6436" w:rsidRDefault="000F6436" w:rsidP="000177D5">
      <w:pPr>
        <w:spacing w:after="0" w:line="240" w:lineRule="auto"/>
        <w:ind w:firstLine="709"/>
        <w:jc w:val="both"/>
      </w:pPr>
      <w:r>
        <w:t>Захват судна воздушного или водного транспорта либо железнодорожного подвижного состава предполагает установление незаконного контроля над соответствующем судном, транспортом или подвижным составом, в результате чего возможность их передвижения зависит от воли угонщика, который при этом может лично управлять транспортным средством или понуждать путем угроз или физического насилия к экипажу, пассажирам, другим лицам выполнять указания угонщика по использованию транспорта по его усмотрению. Захват предшествует угону.</w:t>
      </w:r>
    </w:p>
    <w:p w:rsidR="000F6436" w:rsidRDefault="000F6436" w:rsidP="000177D5">
      <w:pPr>
        <w:spacing w:after="0" w:line="240" w:lineRule="auto"/>
        <w:ind w:firstLine="709"/>
        <w:jc w:val="both"/>
      </w:pPr>
      <w:r>
        <w:t>Указанный в части 1 комментарий статьи захват может осуществляться с применением насилия, не опасного для жизни или здоровья либо угрозы применения такого насилия.</w:t>
      </w:r>
    </w:p>
    <w:p w:rsidR="000F6436" w:rsidRDefault="000F6436" w:rsidP="000177D5">
      <w:pPr>
        <w:spacing w:after="0" w:line="240" w:lineRule="auto"/>
        <w:ind w:firstLine="709"/>
        <w:jc w:val="both"/>
      </w:pPr>
      <w:r>
        <w:t>Субъективная сторона преступления характеризуется виной в виде прямого умысла, лицо осознает, что совершает угон или захват транспортного средства и желает этого.</w:t>
      </w:r>
    </w:p>
    <w:p w:rsidR="000F6436" w:rsidRDefault="000F6436" w:rsidP="000177D5">
      <w:pPr>
        <w:spacing w:after="0" w:line="240" w:lineRule="auto"/>
        <w:ind w:firstLine="709"/>
        <w:jc w:val="both"/>
      </w:pPr>
      <w:r>
        <w:t>За угон судна воздушного или водного транспорта либо железнодорожного подвижного состава, а равно захват такого судна или состава в целях угона предусмотрено уголовное наказание по части 1 статьи 211 Уголовного кодекса Российской Федерации в виде лишения свободы на срок до 8 лет.</w:t>
      </w:r>
    </w:p>
    <w:p w:rsidR="000F6436" w:rsidRDefault="000F6436" w:rsidP="000177D5">
      <w:pPr>
        <w:spacing w:after="0" w:line="240" w:lineRule="auto"/>
        <w:ind w:firstLine="709"/>
        <w:jc w:val="both"/>
      </w:pPr>
      <w:r>
        <w:t>В случае совершение такого преступления группой лиц по предварительному сговору, с применением насилия, опасного для жизни или здоровья, либо с угрозой применения такого насилия, либо с применением оружия или предметов, используемых в качестве оружия предусмотрено наказание в виде лишения свободы на срок до 12 лет.</w:t>
      </w:r>
    </w:p>
    <w:p w:rsidR="000F6436" w:rsidRDefault="000F6436" w:rsidP="000177D5">
      <w:pPr>
        <w:spacing w:after="0" w:line="240" w:lineRule="auto"/>
        <w:ind w:firstLine="709"/>
        <w:jc w:val="both"/>
      </w:pPr>
      <w:r>
        <w:t>При совершении указанного преступления организованной группой, повлекшее смерть человека или иные тяжкие последствия до 15 лет с ограничением свободы до 2 лет, сопряженные с совершением террористического акта либо иным осуществлением террористической деятельности – лишением свободы до 20 лет с ограничением свободы до 2 лет или пожизненным лишением свободы.</w:t>
      </w:r>
    </w:p>
    <w:p w:rsidR="000F6436" w:rsidRDefault="000F6436" w:rsidP="000177D5">
      <w:pPr>
        <w:spacing w:after="0" w:line="240" w:lineRule="auto"/>
        <w:ind w:firstLine="709"/>
        <w:jc w:val="both"/>
      </w:pPr>
      <w:r>
        <w:br w:type="page"/>
      </w:r>
    </w:p>
    <w:p w:rsidR="000F6436" w:rsidRPr="000177D5" w:rsidRDefault="005A3312" w:rsidP="000177D5">
      <w:pPr>
        <w:spacing w:after="0" w:line="240" w:lineRule="auto"/>
        <w:ind w:firstLine="709"/>
        <w:jc w:val="both"/>
        <w:rPr>
          <w:b/>
          <w:bCs/>
        </w:rPr>
      </w:pPr>
      <w:r w:rsidRPr="000177D5">
        <w:rPr>
          <w:b/>
          <w:bCs/>
        </w:rPr>
        <w:lastRenderedPageBreak/>
        <w:t xml:space="preserve">Томская </w:t>
      </w:r>
      <w:r w:rsidR="000F6436" w:rsidRPr="000177D5">
        <w:rPr>
          <w:b/>
          <w:bCs/>
        </w:rPr>
        <w:t>транспортная прокуратура информирует об изменении порядка использования воздушным пространством</w:t>
      </w:r>
    </w:p>
    <w:p w:rsidR="000F6436" w:rsidRDefault="000F6436" w:rsidP="000177D5">
      <w:pPr>
        <w:spacing w:after="0" w:line="240" w:lineRule="auto"/>
        <w:ind w:firstLine="709"/>
        <w:jc w:val="both"/>
      </w:pPr>
      <w:r>
        <w:t>С 01 сентября 2024 года Постановлением Правительства Российской Федерации от 29.03.2024 № 393 изменены Правила использования воздушного пространства, согласно которым упрощена процедура получения ряда разрешений на полеты и на деятельность в воздушном пространстве, скорректированы основания, при которых беспилотники с максимальной взлетной массой до 30 кг могут выполнять визуальные полеты в пределах прямой видимости без плана полета и разрешения на использование воздушного пространства, пересмотрены минимальные интервалы горизонтального эшелонирования при аэродромном диспетчерском обслуживании воздушного движения на основе систем наблюдения и прочее.</w:t>
      </w:r>
    </w:p>
    <w:p w:rsidR="000F6436" w:rsidRDefault="000F6436" w:rsidP="000177D5">
      <w:pPr>
        <w:spacing w:after="0" w:line="240" w:lineRule="auto"/>
        <w:ind w:firstLine="709"/>
        <w:jc w:val="both"/>
      </w:pPr>
      <w:r>
        <w:t>Так, для получения разрешений на полеты, в том числе можно запросить и получить через цифровую платформу посредством Госуслуг.</w:t>
      </w:r>
    </w:p>
    <w:p w:rsidR="000F6436" w:rsidRDefault="000F6436" w:rsidP="000177D5">
      <w:pPr>
        <w:spacing w:after="0" w:line="240" w:lineRule="auto"/>
        <w:ind w:firstLine="709"/>
        <w:jc w:val="both"/>
      </w:pPr>
      <w:r>
        <w:t>Кроме того, в перечень нарушений порядка использования воздушного пространства включен случай, когда судно в воздушном пространстве класса G отклонилось более чем на 10 км от маршрута за пределы района полета, указанного в уведомлении об использовании воздушного пространства, за исключением случая, если это произошло из-за чрезвычайной ситуации или для обеспечения безопасности полета, оказания срочной медпомощи.</w:t>
      </w:r>
    </w:p>
    <w:p w:rsidR="000F6436" w:rsidRDefault="000F6436" w:rsidP="000177D5">
      <w:pPr>
        <w:spacing w:after="0" w:line="240" w:lineRule="auto"/>
        <w:ind w:firstLine="709"/>
        <w:jc w:val="both"/>
      </w:pPr>
    </w:p>
    <w:p w:rsidR="000F6436" w:rsidRDefault="000F6436" w:rsidP="000177D5">
      <w:pPr>
        <w:spacing w:after="0" w:line="240" w:lineRule="auto"/>
        <w:ind w:firstLine="709"/>
        <w:jc w:val="both"/>
      </w:pPr>
      <w:r>
        <w:br w:type="page"/>
      </w:r>
    </w:p>
    <w:p w:rsidR="000F6436" w:rsidRPr="000177D5" w:rsidRDefault="000F6436" w:rsidP="000177D5">
      <w:pPr>
        <w:spacing w:after="0" w:line="240" w:lineRule="auto"/>
        <w:ind w:firstLine="709"/>
        <w:jc w:val="both"/>
        <w:rPr>
          <w:b/>
          <w:bCs/>
        </w:rPr>
      </w:pPr>
      <w:r w:rsidRPr="000177D5">
        <w:rPr>
          <w:b/>
          <w:bCs/>
        </w:rPr>
        <w:lastRenderedPageBreak/>
        <w:t>Томская транспортная прокуратура информирует об ужесточении административной ответственности юридических лиц за повторную утечку персональных данных</w:t>
      </w:r>
    </w:p>
    <w:p w:rsidR="000F6436" w:rsidRDefault="000F6436" w:rsidP="000177D5">
      <w:pPr>
        <w:spacing w:after="0" w:line="240" w:lineRule="auto"/>
        <w:ind w:firstLine="709"/>
        <w:jc w:val="both"/>
      </w:pPr>
      <w:r>
        <w:t>В соответствии с Федеральным законом от 30.11.2024 № 420-ФЗ «О внесении изменений в Кодекс Российской Федерации об административных правонарушениях» совершение правонарушений лицом, подвергнутым административному наказанию, может повлечь наложение штрафа от 1 до 3 процентов совокупного размера выручки компании, но не менее 25 миллионов и не более 500 миллионов рублей.</w:t>
      </w:r>
    </w:p>
    <w:p w:rsidR="000F6436" w:rsidRDefault="000F6436" w:rsidP="000177D5">
      <w:pPr>
        <w:spacing w:after="0" w:line="240" w:lineRule="auto"/>
        <w:ind w:firstLine="709"/>
        <w:jc w:val="both"/>
      </w:pPr>
      <w:r>
        <w:t>Также вводится разграничение административной ответственности в зависимости от количества субъектов персональных данных и идентификаторов, в отношении которых произошла утечка.</w:t>
      </w:r>
    </w:p>
    <w:p w:rsidR="000F6436" w:rsidRDefault="000F6436" w:rsidP="000177D5">
      <w:pPr>
        <w:spacing w:after="0" w:line="240" w:lineRule="auto"/>
        <w:ind w:firstLine="709"/>
        <w:jc w:val="both"/>
      </w:pPr>
      <w:r>
        <w:t>Кроме того за отказ в заключении, исполнении, изменении или расторжении договора с потребителем в связи с его отказом от прохождения идентификации с использованием его биометрических данных предусмотрена административная ответственности в виде штрафа на должностных лиц в размере от 50 тысяч до 100 тысяч рублей, на юридических лиц - от 200 тысяч до 500 тысяч рублей.</w:t>
      </w:r>
    </w:p>
    <w:p w:rsidR="000F6436" w:rsidRDefault="000F6436" w:rsidP="000177D5">
      <w:pPr>
        <w:spacing w:after="0" w:line="240" w:lineRule="auto"/>
        <w:ind w:firstLine="709"/>
        <w:jc w:val="both"/>
      </w:pPr>
      <w:r>
        <w:t>Федеральный закон вступает в силу 30.05.2025.</w:t>
      </w:r>
    </w:p>
    <w:p w:rsidR="000F6436" w:rsidRDefault="000F6436" w:rsidP="000177D5">
      <w:pPr>
        <w:spacing w:after="0" w:line="240" w:lineRule="auto"/>
        <w:ind w:firstLine="709"/>
        <w:jc w:val="both"/>
      </w:pPr>
      <w:r>
        <w:br w:type="page"/>
      </w:r>
    </w:p>
    <w:p w:rsidR="000F6436" w:rsidRPr="000177D5" w:rsidRDefault="005A3312" w:rsidP="000177D5">
      <w:pPr>
        <w:spacing w:after="0" w:line="240" w:lineRule="auto"/>
        <w:ind w:firstLine="709"/>
        <w:jc w:val="both"/>
        <w:rPr>
          <w:b/>
          <w:bCs/>
        </w:rPr>
      </w:pPr>
      <w:r w:rsidRPr="000177D5">
        <w:rPr>
          <w:b/>
          <w:bCs/>
        </w:rPr>
        <w:lastRenderedPageBreak/>
        <w:t xml:space="preserve">Томская </w:t>
      </w:r>
      <w:r w:rsidR="000F6436" w:rsidRPr="000177D5">
        <w:rPr>
          <w:b/>
          <w:bCs/>
        </w:rPr>
        <w:t>транспортная прокуратура разъясняет о правах членов экипажа воздушного судна в случае совершения противоправных действий на борту воздушного судна</w:t>
      </w:r>
    </w:p>
    <w:p w:rsidR="000F6436" w:rsidRDefault="000F6436" w:rsidP="000177D5">
      <w:pPr>
        <w:spacing w:after="0" w:line="240" w:lineRule="auto"/>
        <w:ind w:firstLine="709"/>
        <w:jc w:val="both"/>
      </w:pPr>
      <w:r>
        <w:t>С 1 марта 2025 года Воздушный кодекс Российской Федерации дополняется статьей 58.2, которой определяются права членов экипажа воздушного судна в случае совершения противоправных действий на борту воздушного судна.</w:t>
      </w:r>
    </w:p>
    <w:p w:rsidR="000F6436" w:rsidRDefault="000F6436" w:rsidP="000177D5">
      <w:pPr>
        <w:spacing w:after="0" w:line="240" w:lineRule="auto"/>
        <w:ind w:firstLine="709"/>
        <w:jc w:val="both"/>
      </w:pPr>
      <w:r>
        <w:t>Так, члены экипажа воздушного судна на основании распоряжения командира воздушного судна имеют право применять все необходимые меры, в том числе меры принуждения, в отношении лиц, которые своими действиями создают непосредственную угрозу безопасности полета воздушного судна либо угрозу жизни или здоровью других лиц и отказываются подчиняться распоряжениям командира воздушного судна.</w:t>
      </w:r>
    </w:p>
    <w:p w:rsidR="005A3312" w:rsidRDefault="000F6436" w:rsidP="000177D5">
      <w:pPr>
        <w:spacing w:after="0" w:line="240" w:lineRule="auto"/>
        <w:ind w:firstLine="709"/>
        <w:jc w:val="both"/>
      </w:pPr>
      <w:r>
        <w:t>При пресечении противоправных действий на борту воздушного судна лиц, которые своими действиями создают непосредственную угрозу безопасности полета воздушного судна либо угрозу жизни или здоровью других лиц и отказываются подчиняться распоряжениям командира воздушного судна, члены экипажа воздушного судна имеют право применять специальные средства сдерживания, указанные в подпункте 2 пункта 1 статьи 58 настоящего Кодекса.</w:t>
      </w:r>
    </w:p>
    <w:p w:rsidR="005A3312" w:rsidRDefault="005A3312" w:rsidP="000177D5">
      <w:pPr>
        <w:spacing w:after="0" w:line="240" w:lineRule="auto"/>
        <w:ind w:firstLine="709"/>
        <w:jc w:val="both"/>
      </w:pPr>
      <w:r>
        <w:br w:type="page"/>
      </w:r>
    </w:p>
    <w:p w:rsidR="005A3312" w:rsidRPr="000177D5" w:rsidRDefault="005A3312" w:rsidP="000177D5">
      <w:pPr>
        <w:spacing w:after="0" w:line="240" w:lineRule="auto"/>
        <w:ind w:firstLine="709"/>
        <w:jc w:val="both"/>
        <w:rPr>
          <w:b/>
          <w:bCs/>
        </w:rPr>
      </w:pPr>
      <w:r w:rsidRPr="000177D5">
        <w:rPr>
          <w:b/>
          <w:bCs/>
        </w:rPr>
        <w:lastRenderedPageBreak/>
        <w:t>Томская транспортная прокуратура разъясняет о противодействии в сфере информационно-телекоммуникационных технологий</w:t>
      </w:r>
    </w:p>
    <w:p w:rsidR="005A3312" w:rsidRDefault="005A3312" w:rsidP="000177D5">
      <w:pPr>
        <w:spacing w:after="0" w:line="240" w:lineRule="auto"/>
        <w:ind w:firstLine="709"/>
        <w:jc w:val="both"/>
      </w:pPr>
      <w:r>
        <w:t>С учетом развития информационно-телекоммуникационных технологий, развивается и преступность в указанном направлении, в связи с чем, остро стоит вопрос противодействия обману и хищениям, совершенным с использованием современных информационно-телекоммуникационных технологий.</w:t>
      </w:r>
    </w:p>
    <w:p w:rsidR="005A3312" w:rsidRDefault="005A3312" w:rsidP="000177D5">
      <w:pPr>
        <w:spacing w:after="0" w:line="240" w:lineRule="auto"/>
        <w:ind w:firstLine="709"/>
        <w:jc w:val="both"/>
      </w:pPr>
      <w:r>
        <w:t>Например, злоумышленник звонит человеку, являющемуся пользователем банковской карты (под видом сотрудника службы поддержки или службы безопасности банка), и выясняет пароль, сославшись на необходимость решения проблемы в компьютерной системе или с банковским счетом.</w:t>
      </w:r>
    </w:p>
    <w:p w:rsidR="005A3312" w:rsidRDefault="005A3312" w:rsidP="000177D5">
      <w:pPr>
        <w:spacing w:after="0" w:line="240" w:lineRule="auto"/>
        <w:ind w:firstLine="709"/>
        <w:jc w:val="both"/>
      </w:pPr>
      <w:r>
        <w:t>Преступники, представляясь сотрудниками банка, а также представителями правоохранительных органов, ложно информируют граждан о попытках хищения с их счетов денежных средств или оформления от их имени кредитов, для предотвращения которых требуется самостоятельное получение кредита и перевод денежных средств на «безопасный счет». Дистанционные хищения также совершаются посредством размещения на открытых сайтах в сети «Интернет» заведомо ложных предложений об услугах и продаже товаров за денежное вознаграждение, которое в дальнейшем перечисляется на банковский счет виновного лица. Денежные средства неправомерно списываются со счетов потерпевших, когда в руки преступников попадают их мобильные телефоны с установленными банковскими сервисами.</w:t>
      </w:r>
    </w:p>
    <w:p w:rsidR="005A3312" w:rsidRDefault="005A3312" w:rsidP="000177D5">
      <w:pPr>
        <w:spacing w:after="0" w:line="240" w:lineRule="auto"/>
        <w:ind w:firstLine="709"/>
        <w:jc w:val="both"/>
      </w:pPr>
      <w:r>
        <w:t>То же самое касается и банковских карт: похитителями совершаются покупки путем оплаты товаров бесконтактным способом, при наличии пароля доступа – деньги снимаются в банкоматах. Так называемый фишинг - техника «социальной инженерии», направленная на получение конфиденциальной информации.</w:t>
      </w:r>
    </w:p>
    <w:p w:rsidR="005A3312" w:rsidRDefault="005A3312" w:rsidP="000177D5">
      <w:pPr>
        <w:spacing w:after="0" w:line="240" w:lineRule="auto"/>
        <w:ind w:firstLine="709"/>
        <w:jc w:val="both"/>
      </w:pPr>
      <w:r>
        <w:t xml:space="preserve">Обычно злоумышленник посылает потерпевшему </w:t>
      </w:r>
      <w:proofErr w:type="spellStart"/>
      <w:r>
        <w:t>e-mail</w:t>
      </w:r>
      <w:proofErr w:type="spellEnd"/>
      <w:r>
        <w:t>, подделанный под официальное письмо – от банка или платежной системы – требующее «проверки» определенной информации, или совершения определенных действий.</w:t>
      </w:r>
    </w:p>
    <w:p w:rsidR="005A3312" w:rsidRDefault="005A3312" w:rsidP="000177D5">
      <w:pPr>
        <w:spacing w:after="0" w:line="240" w:lineRule="auto"/>
        <w:ind w:firstLine="709"/>
        <w:jc w:val="both"/>
      </w:pPr>
      <w:r>
        <w:t xml:space="preserve">Это письмо как правило содержит ссылку на фальшивую веб- страницу, имитирующую официальную, с корпоративным логотипом и содержимым, и содержащую форму, требующую ввести необходимую для преступников информацию – от домашнего адреса до </w:t>
      </w:r>
      <w:proofErr w:type="spellStart"/>
      <w:r>
        <w:t>пин-кода</w:t>
      </w:r>
      <w:proofErr w:type="spellEnd"/>
      <w:r>
        <w:t xml:space="preserve"> банковской карты.</w:t>
      </w:r>
    </w:p>
    <w:p w:rsidR="005A3312" w:rsidRDefault="005A3312" w:rsidP="000177D5">
      <w:pPr>
        <w:spacing w:after="0" w:line="240" w:lineRule="auto"/>
        <w:ind w:firstLine="709"/>
        <w:jc w:val="both"/>
      </w:pPr>
      <w:r>
        <w:t xml:space="preserve">Преступники реализуют множество других способов и инструментов для завладения чужими деньгами: используют дубликаты сим-карт потерпевших, а также </w:t>
      </w:r>
      <w:proofErr w:type="spellStart"/>
      <w:r>
        <w:t>устройства-скиммеры</w:t>
      </w:r>
      <w:proofErr w:type="spellEnd"/>
      <w:r>
        <w:t>, считывающие информацию, содержащуюся на магнитной полосе банковской карты для последующего изготовления ее дубликата.</w:t>
      </w:r>
    </w:p>
    <w:p w:rsidR="005A3312" w:rsidRDefault="005A3312" w:rsidP="000177D5">
      <w:pPr>
        <w:spacing w:after="0" w:line="240" w:lineRule="auto"/>
        <w:ind w:firstLine="709"/>
        <w:jc w:val="both"/>
      </w:pPr>
      <w:r>
        <w:t>Рассылают в социальных сетях со взломанных страниц пользователей сообщения их знакомым с просьбами одолжить деньги, внедряют вредоносные программы в системы юридических лиц, похищают электронные ключи и учетные записи к ним в офисах организаций и т.д. Активно применяются возможности «IP-телефонии».</w:t>
      </w:r>
    </w:p>
    <w:p w:rsidR="005A3312" w:rsidRDefault="005A3312" w:rsidP="000177D5">
      <w:pPr>
        <w:spacing w:after="0" w:line="240" w:lineRule="auto"/>
        <w:ind w:firstLine="709"/>
        <w:jc w:val="both"/>
      </w:pPr>
      <w:r>
        <w:t>С использованием различных компьютерных программ и интернет-ресурсов формируются любые номера абонентов, в том числе выдаваемые за номера правоохранительных органов и кредитно-финансовых организаций.</w:t>
      </w:r>
    </w:p>
    <w:p w:rsidR="005A3312" w:rsidRDefault="005A3312" w:rsidP="000177D5">
      <w:pPr>
        <w:spacing w:after="0" w:line="240" w:lineRule="auto"/>
        <w:ind w:firstLine="709"/>
        <w:jc w:val="both"/>
      </w:pPr>
      <w:r>
        <w:t>Кроме того, существуют способы мошенничества, когда инициатива передачи денежных средств мошенникам происходит по собственной инициативе граждан. Получают все большее распространение мошенничества, прикрываемые привлечением денежных средств в инвестиционные проекты, в том числе криптовалюта, участие через брокера в операциях на фондовых рынках.</w:t>
      </w:r>
    </w:p>
    <w:p w:rsidR="005A3312" w:rsidRDefault="005A3312" w:rsidP="000177D5">
      <w:pPr>
        <w:spacing w:after="0" w:line="240" w:lineRule="auto"/>
        <w:ind w:firstLine="709"/>
        <w:jc w:val="both"/>
      </w:pPr>
      <w:r>
        <w:t>Перед тем как переводить свои денежные средства необходимо убедиться в наличии у организации лицензии на привлечение денежных средств граждан, лицензии на ведение брокерской деятельности - реестр брокеров размещен на официальном сайте Банка России.</w:t>
      </w:r>
    </w:p>
    <w:p w:rsidR="005A3312" w:rsidRDefault="005A3312" w:rsidP="000177D5">
      <w:pPr>
        <w:spacing w:after="0" w:line="240" w:lineRule="auto"/>
        <w:ind w:firstLine="709"/>
        <w:jc w:val="both"/>
      </w:pPr>
      <w:r>
        <w:t>Кроме того, не следует переводить и передавать денежные средства незнакомым лицам, действующим под различными предлогами, в том числе по поручению или от имени родственников или знакомых.</w:t>
      </w:r>
    </w:p>
    <w:p w:rsidR="005A3312" w:rsidRDefault="005A3312" w:rsidP="000177D5">
      <w:pPr>
        <w:spacing w:after="0" w:line="240" w:lineRule="auto"/>
        <w:ind w:firstLine="709"/>
        <w:jc w:val="both"/>
      </w:pPr>
      <w:r>
        <w:br w:type="page"/>
      </w:r>
    </w:p>
    <w:p w:rsidR="005A3312" w:rsidRDefault="005A3312" w:rsidP="000177D5">
      <w:pPr>
        <w:spacing w:after="0" w:line="240" w:lineRule="auto"/>
        <w:ind w:firstLine="709"/>
        <w:jc w:val="both"/>
      </w:pPr>
      <w:r w:rsidRPr="000177D5">
        <w:rPr>
          <w:b/>
          <w:bCs/>
        </w:rPr>
        <w:lastRenderedPageBreak/>
        <w:t>Томская транспортная прокуратура информирует:</w:t>
      </w:r>
      <w:r>
        <w:t xml:space="preserve"> утвержден перечень товаров, в отношении которых применяются ставки ввозных таможенных пошлин в соответствии с Соглашением о свободной торговле между ЕАЭС и его государствами-членами, с одной стороны, и Исламской Республикой Иран, с другой стороны</w:t>
      </w:r>
    </w:p>
    <w:p w:rsidR="005A3312" w:rsidRDefault="005A3312" w:rsidP="000177D5">
      <w:pPr>
        <w:spacing w:after="0" w:line="240" w:lineRule="auto"/>
        <w:ind w:firstLine="709"/>
        <w:jc w:val="both"/>
      </w:pPr>
      <w:r>
        <w:t>Решением Коллегии Евразийской экономической комиссии от 14.01.2025 № 1 «О применении ставок ввозных таможенных пошлин в отношении товаров, происходящих из Исламской Республики Иран и ввозимых на таможенную территорию Евразийского экономического союза, и о признании утратившими силу некоторых решений Коллегии Евразийской экономической комиссии» (далее – Решение) установлено, что в отношении товаров, происходящих из Исламской Республики Иран и ввозимых на таможенную территорию ЕАЭС в соответствии с Соглашением, применяется ставка ввозной таможенной пошлины в размере 0 процентов от таможенной стоимости, за исключением товаров, включенных в перечень.</w:t>
      </w:r>
    </w:p>
    <w:p w:rsidR="005A3312" w:rsidRDefault="005A3312" w:rsidP="000177D5">
      <w:pPr>
        <w:spacing w:after="0" w:line="240" w:lineRule="auto"/>
        <w:ind w:firstLine="709"/>
        <w:jc w:val="both"/>
      </w:pPr>
      <w:r>
        <w:t>В случае если сумма ввозных таможенных пошлин, исчисленных по ставкам Единого таможенного тарифа ЕАЭС, ниже суммы ввозных таможенных пошлин, исчисленных по ставкам ввозных таможенных пошлин, указанным в перечне, применяется ставка ввозной таможенной пошлины Единого таможенного тарифа ЕАЭС.</w:t>
      </w:r>
    </w:p>
    <w:p w:rsidR="005A3312" w:rsidRDefault="005A3312" w:rsidP="000177D5">
      <w:pPr>
        <w:spacing w:after="0" w:line="240" w:lineRule="auto"/>
        <w:ind w:firstLine="709"/>
        <w:jc w:val="both"/>
      </w:pPr>
      <w:r>
        <w:t>Указанное Решение вступает в силу с даты вступления в силу Соглашения, но не ранее чем по истечении 30 календарных дней с даты его официального опубликования (опубликовано на официальном сайте ЕАЭС http://www.eaeunion.org/ - 17.01.2025).</w:t>
      </w:r>
    </w:p>
    <w:p w:rsidR="005A3312" w:rsidRDefault="005A3312" w:rsidP="000177D5">
      <w:pPr>
        <w:spacing w:after="0" w:line="240" w:lineRule="auto"/>
        <w:ind w:firstLine="709"/>
        <w:jc w:val="both"/>
      </w:pPr>
      <w:r>
        <w:t>В свою очередь, Решение Коллегии Евразийской экономической комиссии от 22 января 2019 г. № 10 «О преференциальных ставках ввозных таможенных пошлин в отношении товаров, происходящих из Исламской Республики Иран и ввозимых на таможенную территорию Евразийского экономического союза», утратило силу.</w:t>
      </w:r>
    </w:p>
    <w:p w:rsidR="005A3312" w:rsidRDefault="005A3312" w:rsidP="000177D5">
      <w:pPr>
        <w:spacing w:after="0" w:line="240" w:lineRule="auto"/>
        <w:ind w:firstLine="709"/>
        <w:jc w:val="both"/>
      </w:pPr>
      <w:r>
        <w:br w:type="page"/>
      </w:r>
    </w:p>
    <w:p w:rsidR="005A3312" w:rsidRPr="000177D5" w:rsidRDefault="000177D5" w:rsidP="000177D5">
      <w:pPr>
        <w:spacing w:after="0" w:line="240" w:lineRule="auto"/>
        <w:ind w:firstLine="709"/>
        <w:jc w:val="both"/>
        <w:rPr>
          <w:b/>
          <w:bCs/>
        </w:rPr>
      </w:pPr>
      <w:r w:rsidRPr="000177D5">
        <w:rPr>
          <w:b/>
          <w:bCs/>
        </w:rPr>
        <w:lastRenderedPageBreak/>
        <w:t>Томская транспортная прокуратура информирует о</w:t>
      </w:r>
      <w:r w:rsidR="005A3312" w:rsidRPr="000177D5">
        <w:rPr>
          <w:b/>
          <w:bCs/>
        </w:rPr>
        <w:t xml:space="preserve"> проведении эксперимента по автоматизации процесса управления перевозками пассажиров на воздушном транспорте</w:t>
      </w:r>
    </w:p>
    <w:p w:rsidR="005A3312" w:rsidRDefault="005A3312" w:rsidP="000177D5">
      <w:pPr>
        <w:spacing w:after="0" w:line="240" w:lineRule="auto"/>
        <w:ind w:firstLine="709"/>
        <w:jc w:val="both"/>
      </w:pPr>
      <w:r>
        <w:t>С 01.01.2025 начинается эксперимент по автоматизации процесса управления льготными и субсидированными пассажирскими перевозками на воздушном транспорте путем цифрового подтверждения права пассажира на оформление билета по специальному тарифу, предусматривающий автоматизацию процесса документооборота между организациями воздушного транспорта и Федеральным агентством воздушного транспорта в части согласования отчетности о выполнении субсидированных пассажирских перевозок на воздушном транспорте для предоставления (получения) субсидий. Эксперимент проводится согласно постановлению Правительства Российской Федерации от 13.12.2024 № 1776 «О проведении эксперимента по автоматизации процесса управления льготными и субсидированными пассажирскими перевозками на воздушном транспорте».</w:t>
      </w:r>
    </w:p>
    <w:p w:rsidR="005A3312" w:rsidRDefault="005A3312" w:rsidP="000177D5">
      <w:pPr>
        <w:spacing w:after="0" w:line="240" w:lineRule="auto"/>
        <w:ind w:firstLine="709"/>
        <w:jc w:val="both"/>
      </w:pPr>
      <w:r>
        <w:t>Согласно документу в эксперименте участвуют: Министерство транспорта Российской Федерации, Федеральное агентство воздушного транспорта, Министерство цифрового развития, связи и массовых коммуникаций Российской Федерации, Министерство труда и социальной защиты Российской Федерации, Федеральная налоговая служба, Фонд пенсионного и социального страхования Российской Федерации, организации воздушного транспорта, ФГБУ «Ситуационно-информационный центр Министерства транспорта РФ», операторы автоматизированных информационных систем оформления воздушных перевозок.</w:t>
      </w:r>
    </w:p>
    <w:p w:rsidR="005A3312" w:rsidRDefault="005A3312" w:rsidP="000177D5">
      <w:pPr>
        <w:spacing w:after="0" w:line="240" w:lineRule="auto"/>
        <w:ind w:firstLine="709"/>
        <w:jc w:val="both"/>
      </w:pPr>
      <w:r>
        <w:t>Документом установлены следующие цели эксперимента:</w:t>
      </w:r>
    </w:p>
    <w:p w:rsidR="005A3312" w:rsidRDefault="005A3312" w:rsidP="000177D5">
      <w:pPr>
        <w:spacing w:after="0" w:line="240" w:lineRule="auto"/>
        <w:ind w:firstLine="709"/>
        <w:jc w:val="both"/>
      </w:pPr>
      <w:r>
        <w:t>а) апробация механизмов и технологии применения процесса подтверждения в электронной форме права пассажира на оформление билета по специальному тарифу при пользовании транспортными услугами в сфере пассажирских воздушных перевозок;</w:t>
      </w:r>
    </w:p>
    <w:p w:rsidR="005A3312" w:rsidRDefault="005A3312" w:rsidP="000177D5">
      <w:pPr>
        <w:spacing w:after="0" w:line="240" w:lineRule="auto"/>
        <w:ind w:firstLine="709"/>
        <w:jc w:val="both"/>
      </w:pPr>
      <w:r>
        <w:t>б) реализация единого подхода и механизмов контроля соблюдения целей, условий и порядка предоставления субсидий посредством внедрения единого для всех организаций воздушного транспорта, участвующих в эксперименте, стандарта оформления воздушных перевозок населения по специальному тарифу;</w:t>
      </w:r>
    </w:p>
    <w:p w:rsidR="005A3312" w:rsidRDefault="005A3312" w:rsidP="000177D5">
      <w:pPr>
        <w:spacing w:after="0" w:line="240" w:lineRule="auto"/>
        <w:ind w:firstLine="709"/>
        <w:jc w:val="both"/>
      </w:pPr>
      <w:r>
        <w:t>в) обеспечение пассажиру возможности оформления билета по специальному тарифу с подтверждением в электронной форме права на оформление такого билета;</w:t>
      </w:r>
    </w:p>
    <w:p w:rsidR="005A3312" w:rsidRDefault="005A3312" w:rsidP="000177D5">
      <w:pPr>
        <w:spacing w:after="0" w:line="240" w:lineRule="auto"/>
        <w:ind w:firstLine="709"/>
        <w:jc w:val="both"/>
      </w:pPr>
      <w:r>
        <w:t>г) принятие по результатам эксперимента решения о возможности создания и ввода в эксплуатацию государственных информационных систем.</w:t>
      </w:r>
    </w:p>
    <w:p w:rsidR="005A3312" w:rsidRDefault="005A3312" w:rsidP="000177D5">
      <w:pPr>
        <w:spacing w:after="0" w:line="240" w:lineRule="auto"/>
        <w:ind w:firstLine="709"/>
        <w:jc w:val="both"/>
      </w:pPr>
      <w:r>
        <w:t>Критериями достижения целей эксперимента являются: а) повышение мобильности пассажиров за счет обеспечения подтверждения в электронной форме права на оформление билета по специальному тарифу для достижения целей Транспортной стратегии Российской Федерации до 2030 года с прогнозом на период до 2035 года, утвержденной распоряжением Правительства Российской Федерации от 27 ноября 2021 г. № 3363-р;</w:t>
      </w:r>
    </w:p>
    <w:p w:rsidR="005A3312" w:rsidRDefault="005A3312" w:rsidP="000177D5">
      <w:pPr>
        <w:spacing w:after="0" w:line="240" w:lineRule="auto"/>
        <w:ind w:firstLine="709"/>
        <w:jc w:val="both"/>
      </w:pPr>
      <w:r>
        <w:t>б) создание условий для повышения доступности воздушных перевозок для лиц с ограниченными возможностями здоровья (инвалидов I и II групп, детей-инвалидов и лиц, их сопровождающих, право которых на оформление билета по специальному тарифу предусмотрено решением о порядке предоставления субсидии);</w:t>
      </w:r>
    </w:p>
    <w:p w:rsidR="005A3312" w:rsidRDefault="005A3312" w:rsidP="000177D5">
      <w:pPr>
        <w:spacing w:after="0" w:line="240" w:lineRule="auto"/>
        <w:ind w:firstLine="709"/>
        <w:jc w:val="both"/>
      </w:pPr>
      <w:r>
        <w:t>в) снижение временных затрат на проверку отчетности в целях предоставления субсидий в рамках контрольно-надзорной деятельности путем обеспечения перехода на электронный документооборот между Федеральным агентством воздушного транспорта и организациями воздушного транспорта в части предоставления и согласования отчетов о выполнении субсидированных пассажирских перевозок на воздушном транспорте;</w:t>
      </w:r>
    </w:p>
    <w:p w:rsidR="005A3312" w:rsidRDefault="005A3312" w:rsidP="000177D5">
      <w:pPr>
        <w:spacing w:after="0" w:line="240" w:lineRule="auto"/>
        <w:ind w:firstLine="709"/>
        <w:jc w:val="both"/>
      </w:pPr>
      <w:r>
        <w:t>г) снижение временных затрат на оформление билетов по специальному тарифу организациями воздушного транспорта путем внедрения цифрового сервиса, обеспечивающего проверку права пассажира на оформление билета по специальному тарифу в электронном виде (в режиме реального времени), а также автоматизированного контроля расходования пассажиром квот на оформление и использование таких билетов.</w:t>
      </w:r>
    </w:p>
    <w:p w:rsidR="005A3312" w:rsidRDefault="005A3312" w:rsidP="000177D5">
      <w:pPr>
        <w:spacing w:after="0" w:line="240" w:lineRule="auto"/>
        <w:ind w:firstLine="709"/>
        <w:jc w:val="both"/>
      </w:pPr>
      <w:r>
        <w:t>Задачи эксперимента: а) предоставление организациям воздушного транспорта рассчитанных балансов квот для оформления билетов по специальным тарифам;</w:t>
      </w:r>
    </w:p>
    <w:p w:rsidR="005A3312" w:rsidRDefault="005A3312" w:rsidP="000177D5">
      <w:pPr>
        <w:spacing w:after="0" w:line="240" w:lineRule="auto"/>
        <w:ind w:firstLine="709"/>
        <w:jc w:val="both"/>
      </w:pPr>
      <w:r>
        <w:t>б) предоставление организациям воздушного транспорта информации о наличии или об отсутствии у пассажира права на оформление билета по специальному тарифу;</w:t>
      </w:r>
    </w:p>
    <w:p w:rsidR="005A3312" w:rsidRDefault="005A3312" w:rsidP="000177D5">
      <w:pPr>
        <w:spacing w:after="0" w:line="240" w:lineRule="auto"/>
        <w:ind w:firstLine="709"/>
        <w:jc w:val="both"/>
      </w:pPr>
      <w:r>
        <w:lastRenderedPageBreak/>
        <w:t>в) автоматизированное формирование и согласование отчетности о выполнении субсидированных пассажирских перевозок на воздушном транспорте.</w:t>
      </w:r>
    </w:p>
    <w:p w:rsidR="005A3312" w:rsidRDefault="005A3312" w:rsidP="000177D5">
      <w:pPr>
        <w:spacing w:after="0" w:line="240" w:lineRule="auto"/>
        <w:ind w:firstLine="709"/>
        <w:jc w:val="both"/>
      </w:pPr>
      <w:r>
        <w:t>Срок действия документа ограничен 01.07.2025 г.</w:t>
      </w:r>
    </w:p>
    <w:p w:rsidR="005A3312" w:rsidRDefault="005A3312" w:rsidP="000177D5">
      <w:pPr>
        <w:spacing w:after="0" w:line="240" w:lineRule="auto"/>
        <w:ind w:firstLine="709"/>
        <w:jc w:val="both"/>
      </w:pPr>
      <w:r>
        <w:br w:type="page"/>
      </w:r>
    </w:p>
    <w:p w:rsidR="000177D5" w:rsidRPr="000177D5" w:rsidRDefault="000177D5" w:rsidP="000177D5">
      <w:pPr>
        <w:spacing w:after="0" w:line="240" w:lineRule="auto"/>
        <w:ind w:firstLine="709"/>
        <w:jc w:val="both"/>
        <w:rPr>
          <w:b/>
          <w:bCs/>
        </w:rPr>
      </w:pPr>
      <w:r w:rsidRPr="000177D5">
        <w:rPr>
          <w:b/>
          <w:bCs/>
        </w:rPr>
        <w:lastRenderedPageBreak/>
        <w:t>Томская транспортная прокуратура информирует об утверждении правил проверок оборудования воздушных судов гражданской авиации</w:t>
      </w:r>
    </w:p>
    <w:p w:rsidR="000177D5" w:rsidRDefault="000177D5" w:rsidP="000177D5">
      <w:pPr>
        <w:spacing w:after="0" w:line="240" w:lineRule="auto"/>
        <w:ind w:firstLine="709"/>
        <w:jc w:val="both"/>
      </w:pPr>
      <w:r>
        <w:t>С 01.03.2025 г. вступают в силу Федеральные авиационные правила «Порядок проведения для гражданской авиации наземных и летных проверок светосигнального оборудования, устанавливаемого на сертифицированных аэродромах, предназначенных для взлета, посадки, руления и стоянки гражданских воздушных судов, радиотехнического оборудования и оборудования авиационной электросвязи, используемых для обслуживания воздушного движения, наземного оборудования, необходимого для предоставления поставщиками услуг по обслуживанию линий управления беспилотными авиационными системами и контроля беспилотных авиационных систем», утвержденные Приказом Минтранса России от 07.10.2024 № 354, Федеральные авиационные правила «Техническое обслуживание подлежащих обязательной сертификации беспилотных авиационных систем и (или) их элементов, гражданских воздушных судов, авиационных двигателей, воздушных винтов, за исключением легких, сверхлегких гражданских воздушных судов, не осуществляющих коммерческих воздушных перевозок и авиационных работ. Часть 145», утвержденные приказом Минтранса России от 18.10.2024 № 367, и утвержденный приказом Минтранса России от 14.11.2024 № 403 Порядок проведения обязательной сертификации светосигнального оборудования, устанавливаемого на сертифицированных аэродромах, предназначенных для взлета, посадки, руления и стоянки гражданских воздушных судов, регулирующие порядок проведения проверок, технического обслуживания и обязательной сертификации светосигнального и радиотехнического оборудования.</w:t>
      </w:r>
    </w:p>
    <w:p w:rsidR="000177D5" w:rsidRDefault="000177D5" w:rsidP="000177D5">
      <w:pPr>
        <w:spacing w:after="0" w:line="240" w:lineRule="auto"/>
        <w:ind w:firstLine="709"/>
        <w:jc w:val="both"/>
      </w:pPr>
      <w:r>
        <w:t>Документом устанавливаются виды и периодичность проведения наземных и летных проверок.</w:t>
      </w:r>
    </w:p>
    <w:p w:rsidR="000177D5" w:rsidRDefault="000177D5" w:rsidP="000177D5">
      <w:pPr>
        <w:spacing w:after="0" w:line="240" w:lineRule="auto"/>
        <w:ind w:firstLine="709"/>
        <w:jc w:val="both"/>
      </w:pPr>
      <w:r>
        <w:t>следующие виды летных проверок: 1) летные проверки при вводе в эксплуатацию оборудования; 2) периодические летные проверки; 3) специальные летные проверки.</w:t>
      </w:r>
    </w:p>
    <w:p w:rsidR="000177D5" w:rsidRDefault="000177D5" w:rsidP="000177D5">
      <w:pPr>
        <w:spacing w:after="0" w:line="240" w:lineRule="auto"/>
        <w:ind w:firstLine="709"/>
        <w:jc w:val="both"/>
      </w:pPr>
      <w:r>
        <w:t>Наземные проверки: 1) наземные проверки перед проведением вводных летных проверок; 2) наземные проверки перед проведением периодических летных проверок; 3) наземные проверки перед проведением специальных летных проверок.</w:t>
      </w:r>
    </w:p>
    <w:p w:rsidR="000177D5" w:rsidRDefault="000177D5" w:rsidP="000177D5">
      <w:pPr>
        <w:spacing w:after="0" w:line="240" w:lineRule="auto"/>
        <w:ind w:firstLine="709"/>
        <w:jc w:val="both"/>
      </w:pPr>
      <w:r>
        <w:t>Документом устанавливается организация, подготовка и выполнение наземных и летных проверок оборудования. Целями данных проверок является оценка соответствия технических характеристик такого оборудования требованиям сертификационных базисов оборудования и эксплуатационной документации, определения его пригодности для обеспечения полетов ВС.</w:t>
      </w:r>
    </w:p>
    <w:p w:rsidR="000177D5" w:rsidRDefault="000177D5" w:rsidP="000177D5">
      <w:pPr>
        <w:spacing w:after="0" w:line="240" w:lineRule="auto"/>
        <w:ind w:firstLine="709"/>
        <w:jc w:val="both"/>
      </w:pPr>
      <w:r>
        <w:t>Кроме того, документом устанавливаются требования к оформлению протокола летной и наземной проверки, а также акта проведения проверки.</w:t>
      </w:r>
    </w:p>
    <w:p w:rsidR="000177D5" w:rsidRDefault="000177D5" w:rsidP="000177D5">
      <w:pPr>
        <w:spacing w:after="0" w:line="240" w:lineRule="auto"/>
        <w:ind w:firstLine="709"/>
        <w:jc w:val="both"/>
      </w:pPr>
      <w:r>
        <w:t>По итогам проверки могут быть приняты следующие решения:</w:t>
      </w:r>
    </w:p>
    <w:p w:rsidR="000177D5" w:rsidRDefault="000177D5" w:rsidP="000177D5">
      <w:pPr>
        <w:spacing w:after="0" w:line="240" w:lineRule="auto"/>
        <w:ind w:firstLine="709"/>
        <w:jc w:val="both"/>
      </w:pPr>
      <w:r>
        <w:t>1) о признании соответствующими сертификационным базисам оборудования и эксплуатационной документации и пригодным для обеспечения полетов воздушных судов;</w:t>
      </w:r>
    </w:p>
    <w:p w:rsidR="000177D5" w:rsidRDefault="000177D5" w:rsidP="000177D5">
      <w:pPr>
        <w:spacing w:after="0" w:line="240" w:lineRule="auto"/>
        <w:ind w:firstLine="709"/>
        <w:jc w:val="both"/>
      </w:pPr>
      <w:r>
        <w:t>2) о признании не соответствующими сертификационному базису оборудования и эксплуатационной документации;</w:t>
      </w:r>
    </w:p>
    <w:p w:rsidR="000177D5" w:rsidRDefault="000177D5" w:rsidP="000177D5">
      <w:pPr>
        <w:spacing w:after="0" w:line="240" w:lineRule="auto"/>
        <w:ind w:firstLine="709"/>
        <w:jc w:val="both"/>
      </w:pPr>
      <w:r>
        <w:t>Условия для признания оборудования пригодным или непригодным зависит от типа проверяемого оборудования.</w:t>
      </w:r>
    </w:p>
    <w:p w:rsidR="000177D5" w:rsidRDefault="000177D5" w:rsidP="000177D5">
      <w:pPr>
        <w:spacing w:after="0" w:line="240" w:lineRule="auto"/>
        <w:ind w:firstLine="709"/>
        <w:jc w:val="both"/>
      </w:pPr>
      <w:r>
        <w:br w:type="page"/>
      </w:r>
    </w:p>
    <w:p w:rsidR="000177D5" w:rsidRPr="000177D5" w:rsidRDefault="000177D5" w:rsidP="000177D5">
      <w:pPr>
        <w:spacing w:after="0" w:line="240" w:lineRule="auto"/>
        <w:ind w:firstLine="709"/>
        <w:jc w:val="both"/>
        <w:rPr>
          <w:b/>
          <w:bCs/>
        </w:rPr>
      </w:pPr>
      <w:r w:rsidRPr="000177D5">
        <w:rPr>
          <w:b/>
          <w:bCs/>
        </w:rPr>
        <w:lastRenderedPageBreak/>
        <w:t>Томская транспортная прокуратура информирует о правилах перевозки пассажиров и их багажа на внутреннем водном транспорте</w:t>
      </w:r>
    </w:p>
    <w:p w:rsidR="000177D5" w:rsidRDefault="000177D5" w:rsidP="000177D5">
      <w:pPr>
        <w:spacing w:after="0" w:line="240" w:lineRule="auto"/>
        <w:ind w:firstLine="709"/>
        <w:jc w:val="both"/>
      </w:pPr>
      <w:r>
        <w:t>С 01.03.2024 г. вступают в силу утвержденные приказом Минтранса России от 23.08.2024 № 292 Правила перевозок пассажиров и их багажа на внутреннем водном транспорте.</w:t>
      </w:r>
    </w:p>
    <w:p w:rsidR="000177D5" w:rsidRDefault="000177D5" w:rsidP="000177D5">
      <w:pPr>
        <w:spacing w:after="0" w:line="240" w:lineRule="auto"/>
        <w:ind w:firstLine="709"/>
        <w:jc w:val="both"/>
      </w:pPr>
      <w:r>
        <w:t>Документом установлено применение указанных правил при осуществлении перевозок пассажиров и их багажа на внутреннем водном транспорте на транспортных, туристских и экскурсионно-прогулочных маршрутах. Правила являются обязательными для исполнения, однако перевозчики и владельцы пассажирской инфраструктуры вправе установить дополнительные требования к перевозке, не противоречащие данному документу.</w:t>
      </w:r>
    </w:p>
    <w:p w:rsidR="000177D5" w:rsidRDefault="000177D5" w:rsidP="000177D5">
      <w:pPr>
        <w:spacing w:after="0" w:line="240" w:lineRule="auto"/>
        <w:ind w:firstLine="709"/>
        <w:jc w:val="both"/>
      </w:pPr>
      <w:r>
        <w:t>Документом устанавливается порядок осуществления перевозок пассажиров и их багажа; условия определения видов маршрута перевозок пассажиров, установления для этих маршрутов расписаний движения судов; условия перевозки пассажиров по установленным маршрутам, порядок посадки, оповещения о начале и окончании посадки, проверки билетов, критерии по которым пассажиру может быть отказано в перевозке; порядок сдачи билета.</w:t>
      </w:r>
    </w:p>
    <w:p w:rsidR="000177D5" w:rsidRDefault="000177D5" w:rsidP="000177D5">
      <w:pPr>
        <w:spacing w:after="0" w:line="240" w:lineRule="auto"/>
        <w:ind w:firstLine="709"/>
        <w:jc w:val="both"/>
      </w:pPr>
      <w:r>
        <w:t>Срок действия документа ограничен 01.03.2031 г.</w:t>
      </w:r>
    </w:p>
    <w:sectPr w:rsidR="000177D5" w:rsidSect="00434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436"/>
    <w:rsid w:val="000177D5"/>
    <w:rsid w:val="000F6436"/>
    <w:rsid w:val="00123995"/>
    <w:rsid w:val="00434B62"/>
    <w:rsid w:val="005A3312"/>
    <w:rsid w:val="00752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5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3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58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08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8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6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5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61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25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25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5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8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1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330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366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685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24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9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04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3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3042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049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748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4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2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810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0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0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6034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590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08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6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78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52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67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77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5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4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35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09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65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43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9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6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45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3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13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91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9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9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10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738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50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122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2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6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8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473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4693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47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86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0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3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38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76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31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9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8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2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76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47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3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3874</Words>
  <Characters>22083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2025-03-10T06:52:00Z</dcterms:created>
  <dcterms:modified xsi:type="dcterms:W3CDTF">2025-03-10T06:52:00Z</dcterms:modified>
</cp:coreProperties>
</file>